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0F" w:rsidRDefault="006B4C1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E8087" wp14:editId="1165A299">
                <wp:simplePos x="0" y="0"/>
                <wp:positionH relativeFrom="column">
                  <wp:posOffset>14605</wp:posOffset>
                </wp:positionH>
                <wp:positionV relativeFrom="paragraph">
                  <wp:posOffset>65405</wp:posOffset>
                </wp:positionV>
                <wp:extent cx="6477000" cy="1403985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16" w:rsidRDefault="006B4C16">
                            <w:r>
                              <w:t>Vous trouverez ci-dessous une photographie des grandes lignes du budget de la commune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15pt;margin-top:5.15pt;width:510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" stroked="f">
                <v:textbox style="mso-fit-shape-to-text:t">
                  <w:txbxContent>
                    <w:p w:rsidR="006B4C16" w:rsidRDefault="006B4C16">
                      <w:r>
                        <w:t>Vous trouverez ci-dessous une photographie des grandes lignes du budget de la commune</w:t>
                      </w:r>
                    </w:p>
                  </w:txbxContent>
                </v:textbox>
              </v:shape>
            </w:pict>
          </mc:Fallback>
        </mc:AlternateContent>
      </w:r>
      <w:r w:rsidR="00C719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DFFEF" wp14:editId="58704DE3">
                <wp:simplePos x="0" y="0"/>
                <wp:positionH relativeFrom="column">
                  <wp:posOffset>14605</wp:posOffset>
                </wp:positionH>
                <wp:positionV relativeFrom="paragraph">
                  <wp:posOffset>-499745</wp:posOffset>
                </wp:positionV>
                <wp:extent cx="5715000" cy="1403985"/>
                <wp:effectExtent l="0" t="0" r="19050" b="279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946" w:rsidRPr="00F60919" w:rsidRDefault="00C71946">
                            <w:pPr>
                              <w:rPr>
                                <w:b/>
                                <w:color w:val="17365D" w:themeColor="text2" w:themeShade="BF"/>
                                <w:sz w:val="48"/>
                                <w:szCs w:val="48"/>
                              </w:rPr>
                            </w:pPr>
                            <w:r w:rsidRPr="00F60919">
                              <w:rPr>
                                <w:b/>
                                <w:color w:val="17365D" w:themeColor="text2" w:themeShade="BF"/>
                                <w:sz w:val="48"/>
                                <w:szCs w:val="48"/>
                              </w:rPr>
                              <w:t>ZOOM sur le budget communal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15pt;margin-top:-39.35pt;width:45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" fillcolor="white [3201]" strokecolor="#4f81bd [3204]" strokeweight="2pt">
                <v:textbox style="mso-fit-shape-to-text:t">
                  <w:txbxContent>
                    <w:p w:rsidR="00C71946" w:rsidRPr="00F60919" w:rsidRDefault="00C71946">
                      <w:pPr>
                        <w:rPr>
                          <w:b/>
                          <w:color w:val="17365D" w:themeColor="text2" w:themeShade="BF"/>
                          <w:sz w:val="48"/>
                          <w:szCs w:val="48"/>
                        </w:rPr>
                      </w:pPr>
                      <w:r w:rsidRPr="00F60919">
                        <w:rPr>
                          <w:b/>
                          <w:color w:val="17365D" w:themeColor="text2" w:themeShade="BF"/>
                          <w:sz w:val="48"/>
                          <w:szCs w:val="48"/>
                        </w:rPr>
                        <w:t>ZOOM sur le budget communal 2016</w:t>
                      </w:r>
                    </w:p>
                  </w:txbxContent>
                </v:textbox>
              </v:shape>
            </w:pict>
          </mc:Fallback>
        </mc:AlternateContent>
      </w:r>
    </w:p>
    <w:p w:rsidR="0003040F" w:rsidRDefault="0003040F"/>
    <w:p w:rsidR="0003040F" w:rsidRDefault="00F60919">
      <w:r>
        <w:rPr>
          <w:noProof/>
          <w:lang w:eastAsia="fr-FR"/>
        </w:rPr>
        <w:drawing>
          <wp:inline distT="0" distB="0" distL="0" distR="0" wp14:anchorId="28970146" wp14:editId="4418AFD9">
            <wp:extent cx="5760720" cy="3584679"/>
            <wp:effectExtent l="0" t="0" r="0" b="0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3040F" w:rsidRDefault="0003040F"/>
    <w:p w:rsidR="00F60919" w:rsidRDefault="00F60919">
      <w:r>
        <w:rPr>
          <w:noProof/>
          <w:lang w:eastAsia="fr-FR"/>
        </w:rPr>
        <w:drawing>
          <wp:inline distT="0" distB="0" distL="0" distR="0" wp14:anchorId="78C8593E" wp14:editId="391493BD">
            <wp:extent cx="5734050" cy="3752850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7D712B" w:rsidRDefault="0009467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9A9E5" wp14:editId="66576997">
                <wp:simplePos x="0" y="0"/>
                <wp:positionH relativeFrom="column">
                  <wp:posOffset>-625475</wp:posOffset>
                </wp:positionH>
                <wp:positionV relativeFrom="paragraph">
                  <wp:posOffset>45720</wp:posOffset>
                </wp:positionV>
                <wp:extent cx="6979920" cy="1783080"/>
                <wp:effectExtent l="95250" t="95250" r="106680" b="12192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1783080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2A4" w:rsidRPr="00094678" w:rsidRDefault="002222A4" w:rsidP="002222A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094678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Budget d’investissement 362 962 €</w:t>
                            </w:r>
                          </w:p>
                          <w:p w:rsidR="008F64D6" w:rsidRDefault="008F64D6" w:rsidP="002222A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222A4" w:rsidRDefault="002222A4" w:rsidP="00094678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8F64D6">
                              <w:rPr>
                                <w:rFonts w:asciiTheme="minorHAnsi" w:hAnsiTheme="minorHAnsi"/>
                                <w:b/>
                                <w:color w:val="0070C0"/>
                                <w:sz w:val="32"/>
                                <w:szCs w:val="32"/>
                              </w:rPr>
                              <w:t>Principaux investissements 2016</w:t>
                            </w:r>
                          </w:p>
                          <w:p w:rsidR="00094678" w:rsidRDefault="008F64D6" w:rsidP="0009467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094678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Amortissement Mairie, centre bourg Mesnil Racoin</w:t>
                            </w:r>
                          </w:p>
                          <w:p w:rsidR="00094678" w:rsidRDefault="002222A4" w:rsidP="0009467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094678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Eglise Villeneuve sur </w:t>
                            </w:r>
                            <w:proofErr w:type="spellStart"/>
                            <w:r w:rsidRPr="00094678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Auvers</w:t>
                            </w:r>
                            <w:proofErr w:type="spellEnd"/>
                          </w:p>
                          <w:p w:rsidR="00094678" w:rsidRDefault="002222A4" w:rsidP="0009467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094678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Salle des </w:t>
                            </w:r>
                            <w:r w:rsidR="008F64D6" w:rsidRPr="00094678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Fêtes</w:t>
                            </w:r>
                          </w:p>
                          <w:p w:rsidR="008F64D6" w:rsidRPr="00094678" w:rsidRDefault="008F64D6" w:rsidP="0009467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094678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Ecole Mesnil Racoin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9.25pt;margin-top:3.6pt;width:549.6pt;height:14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" fillcolor="white [3201]" strokecolor="#4bacc6 [3208]" strokeweight="4.5pt">
                <v:textbox>
                  <w:txbxContent>
                    <w:p w:rsidR="002222A4" w:rsidRPr="00094678" w:rsidRDefault="002222A4" w:rsidP="002222A4">
                      <w:pPr>
                        <w:jc w:val="center"/>
                        <w:rPr>
                          <w:rFonts w:asciiTheme="minorHAnsi" w:hAnsiTheme="minorHAnsi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094678">
                        <w:rPr>
                          <w:rFonts w:asciiTheme="minorHAnsi" w:hAnsiTheme="minorHAnsi"/>
                          <w:b/>
                          <w:color w:val="1F497D" w:themeColor="text2"/>
                          <w:sz w:val="36"/>
                          <w:szCs w:val="36"/>
                        </w:rPr>
                        <w:t>Budget d’investissement 362 962 €</w:t>
                      </w:r>
                    </w:p>
                    <w:p w:rsidR="008F64D6" w:rsidRDefault="008F64D6" w:rsidP="002222A4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:rsidR="002222A4" w:rsidRDefault="002222A4" w:rsidP="00094678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8F64D6">
                        <w:rPr>
                          <w:rFonts w:asciiTheme="minorHAnsi" w:hAnsiTheme="minorHAnsi"/>
                          <w:b/>
                          <w:color w:val="0070C0"/>
                          <w:sz w:val="32"/>
                          <w:szCs w:val="32"/>
                        </w:rPr>
                        <w:t>Principaux investissements 2016</w:t>
                      </w:r>
                    </w:p>
                    <w:p w:rsidR="00094678" w:rsidRDefault="008F64D6" w:rsidP="0009467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094678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Amortissement Mairie, centre bourg Mesnil Racoin</w:t>
                      </w:r>
                    </w:p>
                    <w:p w:rsidR="00094678" w:rsidRDefault="002222A4" w:rsidP="0009467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094678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Eglise Villeneuve sur </w:t>
                      </w:r>
                      <w:proofErr w:type="spellStart"/>
                      <w:r w:rsidRPr="00094678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Auvers</w:t>
                      </w:r>
                      <w:proofErr w:type="spellEnd"/>
                    </w:p>
                    <w:p w:rsidR="00094678" w:rsidRDefault="002222A4" w:rsidP="0009467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094678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Salle des </w:t>
                      </w:r>
                      <w:r w:rsidR="008F64D6" w:rsidRPr="00094678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Fêtes</w:t>
                      </w:r>
                    </w:p>
                    <w:p w:rsidR="008F64D6" w:rsidRPr="00094678" w:rsidRDefault="008F64D6" w:rsidP="0009467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094678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Ecole Mesnil Racoin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7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735A"/>
    <w:multiLevelType w:val="hybridMultilevel"/>
    <w:tmpl w:val="35960AAA"/>
    <w:lvl w:ilvl="0" w:tplc="84AC579A">
      <w:numFmt w:val="bullet"/>
      <w:lvlText w:val="-"/>
      <w:lvlJc w:val="left"/>
      <w:pPr>
        <w:ind w:left="1068" w:hanging="360"/>
      </w:pPr>
      <w:rPr>
        <w:rFonts w:ascii="Cambria" w:eastAsia="MS ??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46"/>
    <w:rsid w:val="0003040F"/>
    <w:rsid w:val="00094678"/>
    <w:rsid w:val="002222A4"/>
    <w:rsid w:val="002B2493"/>
    <w:rsid w:val="002D58B9"/>
    <w:rsid w:val="006B4C16"/>
    <w:rsid w:val="007D712B"/>
    <w:rsid w:val="008F64D6"/>
    <w:rsid w:val="00C71946"/>
    <w:rsid w:val="00EC5316"/>
    <w:rsid w:val="00F6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16"/>
    <w:rPr>
      <w:rFonts w:ascii="Times New Roman" w:eastAsia="MS ??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EC53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EC5316"/>
    <w:pPr>
      <w:keepNext/>
      <w:outlineLvl w:val="3"/>
    </w:pPr>
    <w:rPr>
      <w:rFonts w:cs="Times New Roman"/>
      <w:b/>
      <w:szCs w:val="20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53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9"/>
    <w:rsid w:val="00EC5316"/>
    <w:rPr>
      <w:rFonts w:ascii="Times New Roman" w:eastAsia="MS ??" w:hAnsi="Times New Roman" w:cs="Times New Roman"/>
      <w:b/>
      <w:szCs w:val="20"/>
      <w:u w:val="double"/>
    </w:rPr>
  </w:style>
  <w:style w:type="paragraph" w:styleId="Paragraphedeliste">
    <w:name w:val="List Paragraph"/>
    <w:basedOn w:val="Normal"/>
    <w:uiPriority w:val="34"/>
    <w:qFormat/>
    <w:rsid w:val="00EC5316"/>
    <w:pPr>
      <w:ind w:left="720"/>
      <w:contextualSpacing/>
    </w:pPr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9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946"/>
    <w:rPr>
      <w:rFonts w:ascii="Tahoma" w:eastAsia="MS ??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16"/>
    <w:rPr>
      <w:rFonts w:ascii="Times New Roman" w:eastAsia="MS ??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EC53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EC5316"/>
    <w:pPr>
      <w:keepNext/>
      <w:outlineLvl w:val="3"/>
    </w:pPr>
    <w:rPr>
      <w:rFonts w:cs="Times New Roman"/>
      <w:b/>
      <w:szCs w:val="20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53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9"/>
    <w:rsid w:val="00EC5316"/>
    <w:rPr>
      <w:rFonts w:ascii="Times New Roman" w:eastAsia="MS ??" w:hAnsi="Times New Roman" w:cs="Times New Roman"/>
      <w:b/>
      <w:szCs w:val="20"/>
      <w:u w:val="double"/>
    </w:rPr>
  </w:style>
  <w:style w:type="paragraph" w:styleId="Paragraphedeliste">
    <w:name w:val="List Paragraph"/>
    <w:basedOn w:val="Normal"/>
    <w:uiPriority w:val="34"/>
    <w:qFormat/>
    <w:rsid w:val="00EC5316"/>
    <w:pPr>
      <w:ind w:left="720"/>
      <w:contextualSpacing/>
    </w:pPr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9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946"/>
    <w:rPr>
      <w:rFonts w:ascii="Tahoma" w:eastAsia="MS ??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S23344\Documents\yl_2008\perso\mairie\2014-2020\fonctionnement2016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S23344\Documents\yl_2008\perso\mairie\2014-2020\fonctionnement201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FR">
                <a:solidFill>
                  <a:schemeClr val="tx2"/>
                </a:solidFill>
              </a:rPr>
              <a:t>Recette de Fonctionnement 383 696 €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</c:spPr>
          </c:dPt>
          <c:dPt>
            <c:idx val="1"/>
            <c:bubble3D val="0"/>
            <c:spPr>
              <a:solidFill>
                <a:schemeClr val="accent1">
                  <a:lumMod val="5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4"/>
            <c:bubble3D val="0"/>
            <c:spPr>
              <a:solidFill>
                <a:srgbClr val="FFFF66"/>
              </a:solidFill>
            </c:spPr>
          </c:dPt>
          <c:dLbls>
            <c:dLbl>
              <c:idx val="0"/>
              <c:layout>
                <c:manualLayout>
                  <c:x val="-7.2941237717186178E-2"/>
                  <c:y val="0.14613614787513263"/>
                </c:manualLayout>
              </c:layout>
              <c:tx>
                <c:rich>
                  <a:bodyPr/>
                  <a:lstStyle/>
                  <a:p>
                    <a:r>
                      <a:rPr lang="en-US" sz="1800"/>
                      <a:t>11%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4043678011322966"/>
                  <c:y val="-0.21693248450326688"/>
                </c:manualLayout>
              </c:layout>
              <c:tx>
                <c:rich>
                  <a:bodyPr/>
                  <a:lstStyle/>
                  <a:p>
                    <a:r>
                      <a:rPr lang="en-US" sz="2800"/>
                      <a:t>64%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3836905923949588"/>
                  <c:y val="9.3071145362148874E-2"/>
                </c:manualLayout>
              </c:layout>
              <c:tx>
                <c:rich>
                  <a:bodyPr/>
                  <a:lstStyle/>
                  <a:p>
                    <a:r>
                      <a:rPr lang="en-US" sz="2400"/>
                      <a:t>14%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3923602524891E-2"/>
                  <c:y val="9.6031998659742004E-2"/>
                </c:manualLayout>
              </c:layout>
              <c:tx>
                <c:rich>
                  <a:bodyPr/>
                  <a:lstStyle/>
                  <a:p>
                    <a:r>
                      <a:rPr lang="en-US" sz="1800"/>
                      <a:t>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800"/>
                      <a:t>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Feuil1!$B$48:$B$52</c:f>
              <c:strCache>
                <c:ptCount val="5"/>
                <c:pt idx="0">
                  <c:v>Produits des services, domaine et ventes diverses (50% antennes téléphonies)</c:v>
                </c:pt>
                <c:pt idx="1">
                  <c:v>Impôts et taxes</c:v>
                </c:pt>
                <c:pt idx="2">
                  <c:v>Dotations, subventions et participations</c:v>
                </c:pt>
                <c:pt idx="3">
                  <c:v>Autres produits de gestion courante, pdts excep (60% loyer logement)</c:v>
                </c:pt>
                <c:pt idx="4">
                  <c:v>Excédent de fonctionnement reporté</c:v>
                </c:pt>
              </c:strCache>
            </c:strRef>
          </c:cat>
          <c:val>
            <c:numRef>
              <c:f>Feuil1!$C$48:$C$52</c:f>
              <c:numCache>
                <c:formatCode>#,##0</c:formatCode>
                <c:ptCount val="5"/>
                <c:pt idx="0">
                  <c:v>43633.57</c:v>
                </c:pt>
                <c:pt idx="1">
                  <c:v>243831</c:v>
                </c:pt>
                <c:pt idx="2">
                  <c:v>54308</c:v>
                </c:pt>
                <c:pt idx="3">
                  <c:v>17980</c:v>
                </c:pt>
                <c:pt idx="4">
                  <c:v>23943.93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FR" sz="1800">
                <a:solidFill>
                  <a:schemeClr val="tx2"/>
                </a:solidFill>
              </a:rPr>
              <a:t>Dépense de fonctionnement 383 696 €</a:t>
            </a:r>
          </a:p>
        </c:rich>
      </c:tx>
      <c:layout>
        <c:manualLayout>
          <c:xMode val="edge"/>
          <c:yMode val="edge"/>
          <c:x val="0.12993434829954767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Pt>
            <c:idx val="1"/>
            <c:bubble3D val="0"/>
            <c:spPr>
              <a:solidFill>
                <a:schemeClr val="accent5">
                  <a:lumMod val="5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7"/>
            <c:bubble3D val="0"/>
            <c:spPr>
              <a:solidFill>
                <a:srgbClr val="FFFF66"/>
              </a:solidFill>
            </c:spPr>
          </c:dPt>
          <c:dLbls>
            <c:dLbl>
              <c:idx val="0"/>
              <c:layout>
                <c:manualLayout>
                  <c:x val="-0.16239429373653874"/>
                  <c:y val="0.15569500512943496"/>
                </c:manualLayout>
              </c:layout>
              <c:tx>
                <c:rich>
                  <a:bodyPr/>
                  <a:lstStyle/>
                  <a:p>
                    <a:r>
                      <a:rPr lang="en-US" sz="2800"/>
                      <a:t>30%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6.1116488345933501E-3"/>
                  <c:y val="-0.20363776862917515"/>
                </c:manualLayout>
              </c:layout>
              <c:tx>
                <c:rich>
                  <a:bodyPr/>
                  <a:lstStyle/>
                  <a:p>
                    <a:r>
                      <a:rPr lang="en-US" sz="2800"/>
                      <a:t>39%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2400"/>
                      <a:t>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2400"/>
                      <a:t>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5.7887880294033016E-2"/>
                  <c:y val="6.8013376500526274E-2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7.3805425484605128E-2"/>
                  <c:y val="0.16397671103294828"/>
                </c:manualLayout>
              </c:layout>
              <c:tx>
                <c:rich>
                  <a:bodyPr/>
                  <a:lstStyle/>
                  <a:p>
                    <a:r>
                      <a:rPr lang="en-US" sz="2000"/>
                      <a:t>10%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Feuil1!$B$38:$B$43</c:f>
              <c:strCache>
                <c:ptCount val="6"/>
                <c:pt idx="0">
                  <c:v>Fonctionnement général (énergie 25%, entretien voierie 26%)</c:v>
                </c:pt>
                <c:pt idx="1">
                  <c:v>Charges de personnel et frais assimilés</c:v>
                </c:pt>
                <c:pt idx="2">
                  <c:v>Atténuations de produits (attribution compensation)</c:v>
                </c:pt>
                <c:pt idx="3">
                  <c:v>Autres charges de gestion courante (65% indemnités elus)</c:v>
                </c:pt>
                <c:pt idx="4">
                  <c:v>Charges financières (intérêts d'emprunt)</c:v>
                </c:pt>
                <c:pt idx="5">
                  <c:v>Virement à la section d'investissement</c:v>
                </c:pt>
              </c:strCache>
            </c:strRef>
          </c:cat>
          <c:val>
            <c:numRef>
              <c:f>Feuil1!$C$38:$C$43</c:f>
              <c:numCache>
                <c:formatCode>#,##0</c:formatCode>
                <c:ptCount val="6"/>
                <c:pt idx="0">
                  <c:v>116070.67</c:v>
                </c:pt>
                <c:pt idx="1">
                  <c:v>147331</c:v>
                </c:pt>
                <c:pt idx="2">
                  <c:v>35000</c:v>
                </c:pt>
                <c:pt idx="3">
                  <c:v>34580</c:v>
                </c:pt>
                <c:pt idx="4">
                  <c:v>11131</c:v>
                </c:pt>
                <c:pt idx="5">
                  <c:v>39583.599999999999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1356452783827553"/>
          <c:y val="0.11729911933597133"/>
          <c:w val="0.36913978775908823"/>
          <c:h val="0.797770494424237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Crédit Agricole Consumer Finance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LACHESNAIS Yann</dc:creator>
  <cp:lastModifiedBy>LACHESNAIS Yann</cp:lastModifiedBy>
  <cp:revision>2</cp:revision>
  <dcterms:created xsi:type="dcterms:W3CDTF">2016-06-30T08:18:00Z</dcterms:created>
  <dcterms:modified xsi:type="dcterms:W3CDTF">2016-06-30T08:18:00Z</dcterms:modified>
</cp:coreProperties>
</file>